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5"/>
        <w:gridCol w:w="5665"/>
        <w:gridCol w:w="5232"/>
      </w:tblGrid>
      <w:tr w:rsidR="00F6722B" w:rsidRPr="008432CA" w:rsidTr="000A28A1">
        <w:trPr>
          <w:trHeight w:val="11354"/>
        </w:trPr>
        <w:tc>
          <w:tcPr>
            <w:tcW w:w="5315" w:type="dxa"/>
            <w:tcBorders>
              <w:top w:val="single" w:sz="24" w:space="0" w:color="7030A0"/>
              <w:left w:val="single" w:sz="24" w:space="0" w:color="7030A0"/>
              <w:bottom w:val="single" w:sz="4" w:space="0" w:color="auto"/>
              <w:right w:val="single" w:sz="24" w:space="0" w:color="7030A0"/>
            </w:tcBorders>
          </w:tcPr>
          <w:p w:rsidR="00F6722B" w:rsidRPr="008432CA" w:rsidRDefault="00F6722B" w:rsidP="00F6722B">
            <w:pPr>
              <w:jc w:val="center"/>
              <w:rPr>
                <w:b/>
                <w:i/>
              </w:rPr>
            </w:pPr>
          </w:p>
          <w:p w:rsidR="00F6722B" w:rsidRDefault="00F6722B" w:rsidP="00F672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с учётом психофизиологических особенностей обучающихся.</w:t>
            </w:r>
          </w:p>
          <w:p w:rsidR="00F6722B" w:rsidRDefault="00F6722B" w:rsidP="00F6722B">
            <w:pPr>
              <w:jc w:val="center"/>
              <w:rPr>
                <w:b/>
                <w:i/>
              </w:rPr>
            </w:pPr>
          </w:p>
          <w:p w:rsidR="00F6722B" w:rsidRDefault="00F6722B" w:rsidP="00F6722B">
            <w:pPr>
              <w:jc w:val="center"/>
              <w:rPr>
                <w:b/>
                <w:i/>
              </w:rPr>
            </w:pPr>
          </w:p>
          <w:p w:rsidR="00F6722B" w:rsidRDefault="00F17955" w:rsidP="00F6722B">
            <w:pPr>
              <w:numPr>
                <w:ilvl w:val="0"/>
                <w:numId w:val="3"/>
              </w:numPr>
            </w:pPr>
            <w:r>
              <w:t xml:space="preserve">Инструкции педагога </w:t>
            </w:r>
            <w:r w:rsidR="00F6722B">
              <w:t>должны быть</w:t>
            </w:r>
          </w:p>
          <w:p w:rsidR="00F6722B" w:rsidRDefault="00F6722B" w:rsidP="00F6722B">
            <w:r>
              <w:t>чётким</w:t>
            </w:r>
            <w:r w:rsidR="00F17955">
              <w:t>и и немногословными; тон педагога</w:t>
            </w:r>
            <w:r>
              <w:t xml:space="preserve"> - нейтральным, слова и фразы – понятными ребенку.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Снижение требований к аккуратности на</w:t>
            </w:r>
          </w:p>
          <w:p w:rsidR="00F6722B" w:rsidRDefault="00F6722B" w:rsidP="00F6722B">
            <w:r>
              <w:t xml:space="preserve">первых этапах обучения; поощрения за работу, выполненную ребёнком </w:t>
            </w:r>
            <w:r w:rsidRPr="00BE7A28">
              <w:rPr>
                <w:b/>
                <w:i/>
              </w:rPr>
              <w:t>чуть</w:t>
            </w:r>
            <w:r>
              <w:t xml:space="preserve"> аккуратнее, чем предыдущая.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Проверка знаний обучающихся с СДВГ в</w:t>
            </w:r>
          </w:p>
          <w:p w:rsidR="00F6722B" w:rsidRDefault="00F6722B" w:rsidP="00F6722B">
            <w:r>
              <w:t>начале урока.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Избегание категоричных ответов.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Объяснение материала ребёнку</w:t>
            </w:r>
          </w:p>
          <w:p w:rsidR="00F6722B" w:rsidRDefault="00F6722B" w:rsidP="00F6722B">
            <w:r>
              <w:t>отдельно (при необходимости).</w:t>
            </w:r>
          </w:p>
          <w:p w:rsidR="00F6722B" w:rsidRDefault="00F6722B" w:rsidP="00F6722B">
            <w:pPr>
              <w:numPr>
                <w:ilvl w:val="0"/>
                <w:numId w:val="4"/>
              </w:numPr>
            </w:pPr>
            <w:r>
              <w:t>Соблюдение чётких временных</w:t>
            </w:r>
          </w:p>
          <w:p w:rsidR="00F6722B" w:rsidRDefault="00F6722B" w:rsidP="00F6722B">
            <w:r>
              <w:t xml:space="preserve">интервалов начала и окончания  </w:t>
            </w:r>
            <w:r w:rsidR="00A357D2">
              <w:t>занятия</w:t>
            </w:r>
            <w:r>
              <w:t>, недопустимость лише</w:t>
            </w:r>
            <w:r w:rsidR="00A357D2">
              <w:t xml:space="preserve">ния активного отдыха </w:t>
            </w:r>
            <w:r>
              <w:t xml:space="preserve"> в качестве наказания.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 w:rsidRPr="008432CA">
              <w:t>Смена видов деятельности</w:t>
            </w:r>
            <w:r>
              <w:t xml:space="preserve"> в зависимости</w:t>
            </w:r>
          </w:p>
          <w:p w:rsidR="00F6722B" w:rsidRDefault="00F6722B" w:rsidP="00F6722B">
            <w:r w:rsidRPr="008432CA">
              <w:t>от степени утомляемости ребенка.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Выполнение упражнений на релаксацию и</w:t>
            </w:r>
          </w:p>
          <w:p w:rsidR="00F6722B" w:rsidRPr="008432CA" w:rsidRDefault="00F6722B" w:rsidP="00F6722B">
            <w:r>
              <w:t>снятие мышечных зажимов.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 w:rsidRPr="008432CA">
              <w:t xml:space="preserve">Реализация двигательной потребности </w:t>
            </w:r>
          </w:p>
          <w:p w:rsidR="00F6722B" w:rsidRDefault="00F6722B" w:rsidP="00F6722B">
            <w:r w:rsidRPr="008432CA">
              <w:t>ребен</w:t>
            </w:r>
            <w:r w:rsidR="00F17955">
              <w:t>ка (выполнение поручений педагога</w:t>
            </w:r>
            <w:r w:rsidRPr="008432CA">
              <w:t>, требующих двигательной активности ребёнк</w:t>
            </w:r>
            <w:r w:rsidR="00F17955">
              <w:t>а: раздать тетради, карандаши и т.д.</w:t>
            </w:r>
            <w:r w:rsidRPr="008432CA">
              <w:t>).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Развитие навыков самоконтроля.</w:t>
            </w:r>
          </w:p>
          <w:p w:rsidR="00F6722B" w:rsidRDefault="00F6722B" w:rsidP="00F6722B">
            <w:pPr>
              <w:numPr>
                <w:ilvl w:val="0"/>
                <w:numId w:val="3"/>
              </w:numPr>
            </w:pPr>
            <w:r>
              <w:t>Обучение ребенка навыкам планирования</w:t>
            </w:r>
          </w:p>
          <w:p w:rsidR="00F6722B" w:rsidRPr="00510CF3" w:rsidRDefault="00F6722B" w:rsidP="00F6722B">
            <w:r>
              <w:t>своей деятельности.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single" w:sz="24" w:space="0" w:color="7030A0"/>
              <w:left w:val="single" w:sz="24" w:space="0" w:color="7030A0"/>
              <w:bottom w:val="single" w:sz="4" w:space="0" w:color="auto"/>
              <w:right w:val="single" w:sz="24" w:space="0" w:color="7030A0"/>
            </w:tcBorders>
          </w:tcPr>
          <w:p w:rsidR="00F6722B" w:rsidRDefault="00F6722B" w:rsidP="00F6722B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F6722B" w:rsidRPr="00F17955" w:rsidRDefault="00F6722B" w:rsidP="00F1795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17955">
              <w:rPr>
                <w:b/>
                <w:i/>
                <w:sz w:val="28"/>
                <w:szCs w:val="28"/>
                <w:u w:val="single"/>
              </w:rPr>
              <w:t>Обучение учащегося конструктивным формам взаимодействия с педагогом и сверстниками</w:t>
            </w:r>
            <w:r w:rsidR="00F17955" w:rsidRPr="00F17955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F17955">
              <w:rPr>
                <w:b/>
                <w:i/>
                <w:sz w:val="28"/>
                <w:szCs w:val="28"/>
                <w:u w:val="single"/>
              </w:rPr>
              <w:t xml:space="preserve"> на уроке:</w:t>
            </w:r>
          </w:p>
          <w:p w:rsidR="00F6722B" w:rsidRDefault="00F6722B" w:rsidP="00F6722B">
            <w:pPr>
              <w:rPr>
                <w:b/>
                <w:i/>
              </w:rPr>
            </w:pPr>
          </w:p>
          <w:p w:rsidR="00F6722B" w:rsidRDefault="00F6722B" w:rsidP="00F6722B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Отработка навыков выражения гнева в приемлемой форме.</w:t>
            </w:r>
          </w:p>
          <w:p w:rsidR="00F6722B" w:rsidRDefault="00F6722B" w:rsidP="00F6722B">
            <w:pPr>
              <w:ind w:left="720"/>
              <w:rPr>
                <w:b/>
                <w:i/>
              </w:rPr>
            </w:pPr>
          </w:p>
          <w:p w:rsidR="00F6722B" w:rsidRDefault="00F6722B" w:rsidP="00F6722B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Обучение конструктивным способам разрешения конфликтов на уроке.</w:t>
            </w:r>
          </w:p>
          <w:p w:rsidR="00F6722B" w:rsidRDefault="00F6722B" w:rsidP="00F6722B">
            <w:pPr>
              <w:rPr>
                <w:b/>
                <w:i/>
              </w:rPr>
            </w:pPr>
          </w:p>
          <w:p w:rsidR="00F6722B" w:rsidRDefault="00F6722B" w:rsidP="00F6722B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Демонстрация </w:t>
            </w:r>
            <w:r w:rsidR="00A357D2">
              <w:rPr>
                <w:b/>
                <w:i/>
              </w:rPr>
              <w:t xml:space="preserve">педагогом </w:t>
            </w:r>
            <w:r>
              <w:rPr>
                <w:b/>
                <w:i/>
              </w:rPr>
              <w:t>неагрессивного поведения, доброжелательного спокойного отношения.</w:t>
            </w:r>
          </w:p>
          <w:p w:rsidR="00F6722B" w:rsidRDefault="00F6722B" w:rsidP="00F6722B">
            <w:pPr>
              <w:rPr>
                <w:b/>
                <w:i/>
              </w:rPr>
            </w:pPr>
          </w:p>
          <w:p w:rsidR="00F6722B" w:rsidRDefault="00F6722B" w:rsidP="00F6722B">
            <w:pPr>
              <w:numPr>
                <w:ilvl w:val="0"/>
                <w:numId w:val="5"/>
              </w:numPr>
              <w:rPr>
                <w:b/>
                <w:i/>
              </w:rPr>
            </w:pPr>
            <w:r>
              <w:rPr>
                <w:b/>
                <w:i/>
              </w:rPr>
              <w:t>Обучение ребёнка адекватным способам выражения просьбы к</w:t>
            </w:r>
            <w:r w:rsidR="00A357D2">
              <w:rPr>
                <w:b/>
                <w:i/>
              </w:rPr>
              <w:t>о взрослому</w:t>
            </w:r>
            <w:r>
              <w:rPr>
                <w:b/>
                <w:i/>
              </w:rPr>
              <w:t xml:space="preserve">, </w:t>
            </w:r>
            <w:r w:rsidR="00A357D2">
              <w:rPr>
                <w:b/>
                <w:i/>
              </w:rPr>
              <w:t>сверстникам</w:t>
            </w:r>
            <w:r>
              <w:rPr>
                <w:b/>
                <w:i/>
              </w:rPr>
              <w:t xml:space="preserve"> во время </w:t>
            </w:r>
            <w:r w:rsidR="00A357D2">
              <w:rPr>
                <w:b/>
                <w:i/>
              </w:rPr>
              <w:t>взаимодействия</w:t>
            </w:r>
            <w:r>
              <w:rPr>
                <w:b/>
                <w:i/>
              </w:rPr>
              <w:t>.</w:t>
            </w:r>
          </w:p>
          <w:p w:rsidR="00F6722B" w:rsidRPr="00510CF3" w:rsidRDefault="00F6722B" w:rsidP="00F6722B">
            <w:pPr>
              <w:rPr>
                <w:b/>
                <w:i/>
              </w:rPr>
            </w:pPr>
          </w:p>
          <w:p w:rsidR="00F6722B" w:rsidRDefault="00F6722B" w:rsidP="00F6722B"/>
          <w:p w:rsidR="00F6722B" w:rsidRDefault="00A357D2" w:rsidP="00F6722B">
            <w:pPr>
              <w:ind w:firstLine="517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2628900" cy="2194560"/>
                  <wp:effectExtent l="19050" t="0" r="0" b="0"/>
                  <wp:docPr id="1" name="Рисунок 1" descr="1331037388_546_66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31037388_546_66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22B" w:rsidRPr="008432CA" w:rsidRDefault="00F6722B" w:rsidP="00F6722B">
            <w:pPr>
              <w:rPr>
                <w:b/>
                <w:i/>
              </w:rPr>
            </w:pPr>
          </w:p>
          <w:p w:rsidR="00F6722B" w:rsidRPr="008432CA" w:rsidRDefault="000A28A1" w:rsidP="00F672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Подготовил</w:t>
            </w:r>
            <w:r w:rsidR="00A357D2">
              <w:rPr>
                <w:b/>
                <w:i/>
              </w:rPr>
              <w:t>: педагог-психолог Н.В. Тарасенко</w:t>
            </w:r>
          </w:p>
          <w:p w:rsidR="00F6722B" w:rsidRDefault="00F6722B" w:rsidP="00F6722B">
            <w:pPr>
              <w:jc w:val="center"/>
            </w:pPr>
          </w:p>
        </w:tc>
        <w:tc>
          <w:tcPr>
            <w:tcW w:w="5232" w:type="dxa"/>
            <w:tcBorders>
              <w:top w:val="single" w:sz="24" w:space="0" w:color="7030A0"/>
              <w:left w:val="single" w:sz="24" w:space="0" w:color="7030A0"/>
              <w:bottom w:val="single" w:sz="4" w:space="0" w:color="auto"/>
              <w:right w:val="single" w:sz="24" w:space="0" w:color="7030A0"/>
            </w:tcBorders>
          </w:tcPr>
          <w:p w:rsidR="00F6722B" w:rsidRPr="008432CA" w:rsidRDefault="00F6722B" w:rsidP="00F6722B">
            <w:pPr>
              <w:jc w:val="center"/>
              <w:rPr>
                <w:sz w:val="20"/>
                <w:szCs w:val="20"/>
              </w:rPr>
            </w:pPr>
          </w:p>
          <w:p w:rsidR="00A357D2" w:rsidRDefault="00A357D2" w:rsidP="000A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дошкольное образовательное учреждение </w:t>
            </w:r>
          </w:p>
          <w:p w:rsidR="00F6722B" w:rsidRPr="000A28A1" w:rsidRDefault="00A357D2" w:rsidP="000A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«Детский сад № 6»</w:t>
            </w:r>
          </w:p>
          <w:p w:rsidR="00F17955" w:rsidRPr="000A28A1" w:rsidRDefault="00F17955" w:rsidP="000A28A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F17955" w:rsidRPr="006C2DFB" w:rsidRDefault="00F17955" w:rsidP="00F17955">
            <w:pPr>
              <w:jc w:val="center"/>
              <w:rPr>
                <w:sz w:val="20"/>
                <w:szCs w:val="20"/>
              </w:rPr>
            </w:pPr>
          </w:p>
          <w:p w:rsidR="00F6722B" w:rsidRDefault="00F6722B" w:rsidP="00F6722B"/>
          <w:p w:rsidR="00F6722B" w:rsidRDefault="00F6722B" w:rsidP="00F6722B"/>
          <w:p w:rsidR="00F6722B" w:rsidRDefault="00F6722B" w:rsidP="00F6722B"/>
          <w:p w:rsidR="00F6722B" w:rsidRPr="008432CA" w:rsidRDefault="00F6722B" w:rsidP="00F6722B">
            <w:pPr>
              <w:jc w:val="center"/>
              <w:rPr>
                <w:b/>
              </w:rPr>
            </w:pPr>
            <w:r>
              <w:rPr>
                <w:b/>
              </w:rPr>
              <w:t>ПАМЯТКА ДЛЯ ПЕДАГОГОВ</w:t>
            </w:r>
          </w:p>
          <w:p w:rsidR="00F6722B" w:rsidRDefault="00F6722B" w:rsidP="00F6722B"/>
          <w:p w:rsidR="00F6722B" w:rsidRDefault="00F6722B" w:rsidP="00F6722B"/>
          <w:p w:rsidR="00F6722B" w:rsidRDefault="00F6722B" w:rsidP="00F6722B"/>
          <w:p w:rsidR="00F6722B" w:rsidRPr="008432CA" w:rsidRDefault="00F6722B" w:rsidP="00F6722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F6722B" w:rsidRPr="008432CA" w:rsidRDefault="00F6722B" w:rsidP="00F6722B">
            <w:pPr>
              <w:jc w:val="center"/>
              <w:rPr>
                <w:b/>
                <w:i/>
                <w:sz w:val="32"/>
                <w:szCs w:val="32"/>
              </w:rPr>
            </w:pPr>
            <w:r w:rsidRPr="008432CA">
              <w:rPr>
                <w:b/>
                <w:i/>
                <w:sz w:val="32"/>
                <w:szCs w:val="32"/>
              </w:rPr>
              <w:t>Дети с синдромом дефицита внимания и гиперактивностью</w:t>
            </w:r>
          </w:p>
          <w:p w:rsidR="00F6722B" w:rsidRPr="008432CA" w:rsidRDefault="00F6722B" w:rsidP="00F6722B">
            <w:pPr>
              <w:rPr>
                <w:b/>
                <w:i/>
                <w:sz w:val="32"/>
                <w:szCs w:val="32"/>
              </w:rPr>
            </w:pPr>
          </w:p>
          <w:p w:rsidR="00F6722B" w:rsidRPr="008432CA" w:rsidRDefault="00A357D2" w:rsidP="00F6722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2407920"/>
                  <wp:effectExtent l="19050" t="0" r="0" b="0"/>
                  <wp:docPr id="2" name="Рисунок 2" descr="GirlScrea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rlScrea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0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22B" w:rsidRPr="008432CA" w:rsidRDefault="00F6722B" w:rsidP="00F6722B">
            <w:pPr>
              <w:jc w:val="right"/>
              <w:rPr>
                <w:b/>
                <w:i/>
                <w:sz w:val="32"/>
                <w:szCs w:val="32"/>
              </w:rPr>
            </w:pPr>
          </w:p>
          <w:p w:rsidR="00F6722B" w:rsidRPr="008432CA" w:rsidRDefault="00F6722B" w:rsidP="00F6722B">
            <w:pPr>
              <w:jc w:val="right"/>
              <w:rPr>
                <w:b/>
                <w:i/>
              </w:rPr>
            </w:pPr>
          </w:p>
          <w:p w:rsidR="00F6722B" w:rsidRDefault="00F6722B" w:rsidP="00F6722B">
            <w:pPr>
              <w:jc w:val="center"/>
              <w:rPr>
                <w:b/>
                <w:i/>
              </w:rPr>
            </w:pPr>
          </w:p>
          <w:p w:rsidR="00F6722B" w:rsidRDefault="00F17955" w:rsidP="00F6722B">
            <w:pPr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F6722B" w:rsidRPr="008432CA" w:rsidTr="000A28A1">
        <w:trPr>
          <w:trHeight w:val="11140"/>
        </w:trPr>
        <w:tc>
          <w:tcPr>
            <w:tcW w:w="5315" w:type="dxa"/>
            <w:tcBorders>
              <w:top w:val="single" w:sz="24" w:space="0" w:color="7030A0"/>
              <w:left w:val="single" w:sz="24" w:space="0" w:color="7030A0"/>
              <w:bottom w:val="single" w:sz="4" w:space="0" w:color="7030A0"/>
              <w:right w:val="single" w:sz="24" w:space="0" w:color="7030A0"/>
            </w:tcBorders>
          </w:tcPr>
          <w:p w:rsidR="00F6722B" w:rsidRPr="008432CA" w:rsidRDefault="00F6722B" w:rsidP="00F6722B">
            <w:pPr>
              <w:jc w:val="both"/>
              <w:rPr>
                <w:i/>
                <w:sz w:val="22"/>
                <w:szCs w:val="22"/>
              </w:rPr>
            </w:pPr>
            <w:r w:rsidRPr="008432CA">
              <w:rPr>
                <w:i/>
                <w:sz w:val="22"/>
                <w:szCs w:val="22"/>
              </w:rPr>
              <w:lastRenderedPageBreak/>
              <w:t xml:space="preserve">    </w:t>
            </w:r>
          </w:p>
          <w:p w:rsidR="00F6722B" w:rsidRPr="008432CA" w:rsidRDefault="00F6722B" w:rsidP="00F6722B">
            <w:pPr>
              <w:jc w:val="both"/>
              <w:rPr>
                <w:b/>
                <w:i/>
                <w:sz w:val="22"/>
                <w:szCs w:val="22"/>
              </w:rPr>
            </w:pPr>
            <w:r w:rsidRPr="008432CA">
              <w:rPr>
                <w:i/>
                <w:sz w:val="22"/>
                <w:szCs w:val="22"/>
              </w:rPr>
              <w:t xml:space="preserve"> </w:t>
            </w:r>
            <w:r w:rsidRPr="008432CA">
              <w:rPr>
                <w:b/>
                <w:i/>
                <w:sz w:val="22"/>
                <w:szCs w:val="22"/>
              </w:rPr>
              <w:t>Если Ваш ребенок постоянно находится в движении: он не ходит, а  бегает, не сидит, а ёрзает, не стоит, а крутится, принимается за дело и не доводит его до конца, то, возможно, Ваш ребенок – гиперактивный.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  </w:t>
            </w:r>
          </w:p>
          <w:p w:rsidR="00F6722B" w:rsidRPr="008432CA" w:rsidRDefault="00F6722B" w:rsidP="00F6722B">
            <w:pPr>
              <w:rPr>
                <w:sz w:val="22"/>
                <w:szCs w:val="22"/>
                <w:u w:val="single"/>
              </w:rPr>
            </w:pPr>
            <w:r w:rsidRPr="008432CA">
              <w:rPr>
                <w:sz w:val="22"/>
                <w:szCs w:val="22"/>
              </w:rPr>
              <w:t xml:space="preserve"> </w:t>
            </w:r>
            <w:r w:rsidRPr="008432CA">
              <w:rPr>
                <w:sz w:val="22"/>
                <w:szCs w:val="22"/>
                <w:u w:val="single"/>
              </w:rPr>
              <w:t>Специалисты выделяют следующие клинические про</w:t>
            </w:r>
            <w:r w:rsidRPr="008432CA">
              <w:rPr>
                <w:sz w:val="22"/>
                <w:szCs w:val="22"/>
                <w:u w:val="single"/>
              </w:rPr>
              <w:softHyphen/>
              <w:t>явления синдромов дефицита внимания у детей: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1. Беспокойные движения в кистях и стопах. Сидя на стуле, ребенок корчится, извивается.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2. Неумение спокойно сидеть на месте, когда это тре</w:t>
            </w:r>
            <w:r w:rsidRPr="008432CA">
              <w:rPr>
                <w:sz w:val="22"/>
                <w:szCs w:val="22"/>
              </w:rPr>
              <w:softHyphen/>
              <w:t>буется.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3. Легкая отвлекаемость на посторонние стимулы.</w:t>
            </w:r>
          </w:p>
          <w:p w:rsidR="00F6722B" w:rsidRPr="008432CA" w:rsidRDefault="00F6722B" w:rsidP="00A357D2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4. Нетерпение, неумение дожидаться своей очереди во время игр и в различных ситуациях, возникающих в кол</w:t>
            </w:r>
            <w:r w:rsidRPr="008432CA">
              <w:rPr>
                <w:sz w:val="22"/>
                <w:szCs w:val="22"/>
              </w:rPr>
              <w:softHyphen/>
              <w:t>лективе.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5. Неумение сосредоточиться: на вопросы часто отве</w:t>
            </w:r>
            <w:r w:rsidRPr="008432CA">
              <w:rPr>
                <w:sz w:val="22"/>
                <w:szCs w:val="22"/>
              </w:rPr>
              <w:softHyphen/>
              <w:t>чает</w:t>
            </w:r>
            <w:r w:rsidR="00F17955">
              <w:rPr>
                <w:sz w:val="22"/>
                <w:szCs w:val="22"/>
              </w:rPr>
              <w:t xml:space="preserve">, </w:t>
            </w:r>
            <w:r w:rsidRPr="008432CA">
              <w:rPr>
                <w:sz w:val="22"/>
                <w:szCs w:val="22"/>
              </w:rPr>
              <w:t xml:space="preserve"> не</w:t>
            </w:r>
            <w:r w:rsidR="00F17955">
              <w:rPr>
                <w:sz w:val="22"/>
                <w:szCs w:val="22"/>
              </w:rPr>
              <w:t xml:space="preserve"> </w:t>
            </w:r>
            <w:r w:rsidRPr="008432CA">
              <w:rPr>
                <w:sz w:val="22"/>
                <w:szCs w:val="22"/>
              </w:rPr>
              <w:t xml:space="preserve"> задумываясь, не выслушав их до конца.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6. Сложности (не связанные с негативным поведени</w:t>
            </w:r>
            <w:r w:rsidRPr="008432CA">
              <w:rPr>
                <w:sz w:val="22"/>
                <w:szCs w:val="22"/>
              </w:rPr>
              <w:softHyphen/>
              <w:t>ем или недостаточностью понимания) при выполнении предложенных заданий.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7. С трудом сохраняемое внимание при выполнении заданий или во время игр.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8. Частые переходы от одного незавершенного дей</w:t>
            </w:r>
            <w:r w:rsidRPr="008432CA">
              <w:rPr>
                <w:sz w:val="22"/>
                <w:szCs w:val="22"/>
              </w:rPr>
              <w:softHyphen/>
              <w:t>ствия к другому.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9. Неумение играть тихо, спокойно.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10. Болтливость.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11. Мешают другим, пристают к окружающим (напри</w:t>
            </w:r>
            <w:r w:rsidRPr="008432CA">
              <w:rPr>
                <w:sz w:val="22"/>
                <w:szCs w:val="22"/>
              </w:rPr>
              <w:softHyphen/>
              <w:t>мер, вмешиваются в игры других детей).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12. Часто складывается впечатление, что ребенок не слушает обращенную к нему речь.</w:t>
            </w:r>
          </w:p>
        </w:tc>
        <w:tc>
          <w:tcPr>
            <w:tcW w:w="5665" w:type="dxa"/>
            <w:tcBorders>
              <w:top w:val="single" w:sz="24" w:space="0" w:color="7030A0"/>
              <w:left w:val="single" w:sz="24" w:space="0" w:color="7030A0"/>
              <w:bottom w:val="single" w:sz="4" w:space="0" w:color="7030A0"/>
              <w:right w:val="single" w:sz="24" w:space="0" w:color="7030A0"/>
            </w:tcBorders>
          </w:tcPr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</w:t>
            </w: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</w:t>
            </w:r>
            <w:r w:rsidRPr="008432CA">
              <w:rPr>
                <w:i/>
                <w:sz w:val="22"/>
                <w:szCs w:val="22"/>
              </w:rPr>
              <w:t xml:space="preserve">Часто гиперактивности сопутствуют проблемы во взаимоотношениях с окружающими, трудности в обучении, низкая самооценка.      </w:t>
            </w: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</w:p>
          <w:p w:rsidR="00F6722B" w:rsidRPr="008432CA" w:rsidRDefault="00F6722B" w:rsidP="00F672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Нарушения поведения гиперактивных детей во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многом опре</w:t>
            </w:r>
            <w:r w:rsidRPr="008432CA">
              <w:rPr>
                <w:sz w:val="22"/>
                <w:szCs w:val="22"/>
              </w:rPr>
              <w:softHyphen/>
              <w:t xml:space="preserve">деляют </w:t>
            </w:r>
            <w:r w:rsidRPr="008432CA">
              <w:rPr>
                <w:sz w:val="22"/>
                <w:szCs w:val="22"/>
                <w:u w:val="single"/>
              </w:rPr>
              <w:t>характер взаимоотношений с окружающими людьми.</w:t>
            </w:r>
            <w:r w:rsidRPr="008432CA">
              <w:rPr>
                <w:sz w:val="22"/>
                <w:szCs w:val="22"/>
              </w:rPr>
              <w:t xml:space="preserve"> В большинстве случаев такие дети испытывают проблемы в общении: они не могут долго играть со свер</w:t>
            </w:r>
            <w:r w:rsidRPr="008432CA">
              <w:rPr>
                <w:sz w:val="22"/>
                <w:szCs w:val="22"/>
              </w:rPr>
              <w:softHyphen/>
              <w:t>стниками, устанавливать и поддерживать дружеские от</w:t>
            </w:r>
            <w:r w:rsidRPr="008432CA">
              <w:rPr>
                <w:sz w:val="22"/>
                <w:szCs w:val="22"/>
              </w:rPr>
              <w:softHyphen/>
              <w:t>ношения. Среди детей они являются источником посто</w:t>
            </w:r>
            <w:r w:rsidRPr="008432CA">
              <w:rPr>
                <w:sz w:val="22"/>
                <w:szCs w:val="22"/>
              </w:rPr>
              <w:softHyphen/>
              <w:t>янных конфликтов и быстро становятся отверженными.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</w:p>
          <w:p w:rsidR="00F6722B" w:rsidRPr="008432CA" w:rsidRDefault="00F6722B" w:rsidP="00F672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Большинству таких детей свойственна </w:t>
            </w:r>
            <w:r w:rsidRPr="008432CA">
              <w:rPr>
                <w:sz w:val="22"/>
                <w:szCs w:val="22"/>
                <w:u w:val="single"/>
              </w:rPr>
              <w:t>низкая</w:t>
            </w:r>
          </w:p>
          <w:p w:rsidR="00F6722B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  <w:u w:val="single"/>
              </w:rPr>
              <w:t>самооценка.</w:t>
            </w:r>
            <w:r w:rsidRPr="008432CA">
              <w:rPr>
                <w:sz w:val="22"/>
                <w:szCs w:val="22"/>
              </w:rPr>
              <w:t xml:space="preserve"> У них нередко отмечает</w:t>
            </w:r>
            <w:r w:rsidRPr="008432CA">
              <w:rPr>
                <w:sz w:val="22"/>
                <w:szCs w:val="22"/>
              </w:rPr>
              <w:softHyphen/>
              <w:t>ся деструктивное поведение, агрессивность, упрямство, лживость, склонность к воровству и другие формы асо</w:t>
            </w:r>
            <w:r w:rsidRPr="008432CA">
              <w:rPr>
                <w:sz w:val="22"/>
                <w:szCs w:val="22"/>
              </w:rPr>
              <w:softHyphen/>
              <w:t>циального поведения.</w:t>
            </w:r>
          </w:p>
          <w:p w:rsidR="00A357D2" w:rsidRDefault="00A357D2" w:rsidP="00F6722B">
            <w:pPr>
              <w:rPr>
                <w:sz w:val="22"/>
                <w:szCs w:val="22"/>
              </w:rPr>
            </w:pPr>
          </w:p>
          <w:p w:rsidR="00A357D2" w:rsidRDefault="00A357D2" w:rsidP="00F6722B">
            <w:pPr>
              <w:rPr>
                <w:sz w:val="22"/>
                <w:szCs w:val="22"/>
              </w:rPr>
            </w:pPr>
          </w:p>
          <w:p w:rsidR="00A357D2" w:rsidRDefault="00A357D2" w:rsidP="00F6722B">
            <w:pPr>
              <w:rPr>
                <w:sz w:val="22"/>
                <w:szCs w:val="22"/>
              </w:rPr>
            </w:pPr>
          </w:p>
          <w:p w:rsidR="00A357D2" w:rsidRDefault="00A357D2" w:rsidP="00F6722B">
            <w:pPr>
              <w:rPr>
                <w:sz w:val="22"/>
                <w:szCs w:val="22"/>
              </w:rPr>
            </w:pPr>
          </w:p>
          <w:p w:rsidR="00A357D2" w:rsidRPr="008432CA" w:rsidRDefault="00A357D2" w:rsidP="00F6722B">
            <w:pPr>
              <w:rPr>
                <w:sz w:val="22"/>
                <w:szCs w:val="22"/>
              </w:rPr>
            </w:pPr>
          </w:p>
          <w:p w:rsidR="00A357D2" w:rsidRPr="008432CA" w:rsidRDefault="00A357D2" w:rsidP="00A357D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01240" cy="1424940"/>
                  <wp:effectExtent l="19050" t="0" r="3810" b="0"/>
                  <wp:docPr id="6" name="Рисунок 6" descr="13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22B" w:rsidRDefault="00F6722B" w:rsidP="00A357D2">
            <w:pPr>
              <w:jc w:val="center"/>
            </w:pPr>
          </w:p>
          <w:p w:rsidR="00A357D2" w:rsidRDefault="00A357D2" w:rsidP="00A357D2">
            <w:pPr>
              <w:jc w:val="center"/>
            </w:pPr>
          </w:p>
          <w:p w:rsidR="00A357D2" w:rsidRDefault="00A357D2" w:rsidP="00A357D2">
            <w:pPr>
              <w:jc w:val="center"/>
            </w:pPr>
          </w:p>
        </w:tc>
        <w:tc>
          <w:tcPr>
            <w:tcW w:w="5232" w:type="dxa"/>
            <w:tcBorders>
              <w:top w:val="single" w:sz="24" w:space="0" w:color="7030A0"/>
              <w:left w:val="single" w:sz="24" w:space="0" w:color="7030A0"/>
              <w:bottom w:val="single" w:sz="4" w:space="0" w:color="7030A0"/>
              <w:right w:val="single" w:sz="24" w:space="0" w:color="7030A0"/>
            </w:tcBorders>
          </w:tcPr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</w:t>
            </w:r>
          </w:p>
          <w:p w:rsidR="00F6722B" w:rsidRDefault="00F6722B" w:rsidP="00F6722B">
            <w:pPr>
              <w:rPr>
                <w:i/>
                <w:sz w:val="22"/>
                <w:szCs w:val="22"/>
              </w:rPr>
            </w:pPr>
            <w:r w:rsidRPr="008432CA">
              <w:rPr>
                <w:i/>
                <w:sz w:val="22"/>
                <w:szCs w:val="22"/>
              </w:rPr>
              <w:t xml:space="preserve"> В работе с гиперактивными детьми большое значение имеет знание причин наблюдаемых нарушений поведения. </w:t>
            </w: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  В настоящее время этиология и патогенез синдромов де</w:t>
            </w:r>
            <w:r w:rsidRPr="008432CA">
              <w:rPr>
                <w:sz w:val="22"/>
                <w:szCs w:val="22"/>
              </w:rPr>
              <w:softHyphen/>
              <w:t>фицита внимания выяснены недостаточно. Но большин</w:t>
            </w:r>
            <w:r w:rsidRPr="008432CA">
              <w:rPr>
                <w:sz w:val="22"/>
                <w:szCs w:val="22"/>
              </w:rPr>
              <w:softHyphen/>
              <w:t>ство специалистов склоняются к признанию взаимодей</w:t>
            </w:r>
            <w:r w:rsidRPr="008432CA">
              <w:rPr>
                <w:sz w:val="22"/>
                <w:szCs w:val="22"/>
              </w:rPr>
              <w:softHyphen/>
              <w:t>ствия многих факторов, в числе которых называются:</w:t>
            </w:r>
          </w:p>
          <w:p w:rsidR="00F6722B" w:rsidRPr="008432CA" w:rsidRDefault="00F6722B" w:rsidP="00F672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пренатальные факторы (токсикозы, гестозы,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угроза прерывания беременности, родовая травма, внутриутробная гипоксия плода, внутриутробные инфекции, курение матери и др.);</w:t>
            </w:r>
          </w:p>
          <w:p w:rsidR="00F6722B" w:rsidRPr="008432CA" w:rsidRDefault="00F6722B" w:rsidP="00F672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постнатальные </w:t>
            </w:r>
            <w:r w:rsidR="00F17955">
              <w:rPr>
                <w:sz w:val="22"/>
                <w:szCs w:val="22"/>
              </w:rPr>
              <w:t xml:space="preserve"> </w:t>
            </w:r>
            <w:r w:rsidRPr="008432CA">
              <w:rPr>
                <w:sz w:val="22"/>
                <w:szCs w:val="22"/>
              </w:rPr>
              <w:t>факторы (недоношенность,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задержка внутриутробного развития, искусственное вскармливание и др . );</w:t>
            </w:r>
          </w:p>
          <w:p w:rsidR="00F6722B" w:rsidRPr="008432CA" w:rsidRDefault="00F6722B" w:rsidP="00F67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генетический фактор;</w:t>
            </w:r>
          </w:p>
          <w:p w:rsidR="00F6722B" w:rsidRPr="008432CA" w:rsidRDefault="00F6722B" w:rsidP="00F6722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>социальные факторы.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Психологи И.Лангмейер и З.Матейчик  относят к социальным факторам: недостаточное образование родителей, неполную семью, депривацию или деформацию материнского ухода.</w:t>
            </w:r>
          </w:p>
          <w:p w:rsidR="00F6722B" w:rsidRPr="008432CA" w:rsidRDefault="00F6722B" w:rsidP="00F6722B">
            <w:pPr>
              <w:rPr>
                <w:sz w:val="22"/>
                <w:szCs w:val="22"/>
              </w:rPr>
            </w:pP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  <w:r w:rsidRPr="008432CA">
              <w:rPr>
                <w:sz w:val="22"/>
                <w:szCs w:val="22"/>
              </w:rPr>
              <w:t xml:space="preserve">   </w:t>
            </w:r>
            <w:r w:rsidRPr="008432CA">
              <w:rPr>
                <w:i/>
                <w:sz w:val="22"/>
                <w:szCs w:val="22"/>
              </w:rPr>
              <w:t xml:space="preserve">Наличие гиперактивности определяет специалист – врач после проведения специальной диагностики. При необходимости назначается медикаментозное лечение. </w:t>
            </w: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  <w:r w:rsidRPr="008432CA">
              <w:rPr>
                <w:i/>
                <w:sz w:val="22"/>
                <w:szCs w:val="22"/>
              </w:rPr>
              <w:t xml:space="preserve">   Исходя из этого, работа с гиперактивными детьми дол</w:t>
            </w:r>
            <w:r w:rsidRPr="008432CA">
              <w:rPr>
                <w:i/>
                <w:sz w:val="22"/>
                <w:szCs w:val="22"/>
              </w:rPr>
              <w:softHyphen/>
              <w:t>жна проводиться комплексно, с участием специалистов разных профилей и обязательным привлечением родителей и учителей.</w:t>
            </w: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</w:p>
          <w:p w:rsidR="00F6722B" w:rsidRPr="008432CA" w:rsidRDefault="00F6722B" w:rsidP="00F6722B">
            <w:pPr>
              <w:rPr>
                <w:i/>
                <w:sz w:val="22"/>
                <w:szCs w:val="22"/>
              </w:rPr>
            </w:pPr>
          </w:p>
          <w:p w:rsidR="00F6722B" w:rsidRDefault="00A357D2" w:rsidP="00F672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7320" cy="998220"/>
                  <wp:effectExtent l="19050" t="0" r="0" b="0"/>
                  <wp:docPr id="4" name="Рисунок 4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D34" w:rsidRDefault="00F41D34"/>
    <w:sectPr w:rsidR="00F41D34" w:rsidSect="00F6722B">
      <w:pgSz w:w="16838" w:h="11906" w:orient="landscape"/>
      <w:pgMar w:top="360" w:right="1134" w:bottom="53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3AC"/>
    <w:multiLevelType w:val="hybridMultilevel"/>
    <w:tmpl w:val="F9829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6418"/>
    <w:multiLevelType w:val="hybridMultilevel"/>
    <w:tmpl w:val="5A7E0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82D21"/>
    <w:multiLevelType w:val="hybridMultilevel"/>
    <w:tmpl w:val="4F643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30CB2"/>
    <w:multiLevelType w:val="hybridMultilevel"/>
    <w:tmpl w:val="6A20A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F23AB"/>
    <w:multiLevelType w:val="hybridMultilevel"/>
    <w:tmpl w:val="7F7E802A"/>
    <w:lvl w:ilvl="0" w:tplc="04190009">
      <w:start w:val="1"/>
      <w:numFmt w:val="bullet"/>
      <w:lvlText w:val=""/>
      <w:lvlJc w:val="left"/>
      <w:pPr>
        <w:ind w:left="7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6722B"/>
    <w:rsid w:val="00000B82"/>
    <w:rsid w:val="000A28A1"/>
    <w:rsid w:val="00180A1D"/>
    <w:rsid w:val="00390C95"/>
    <w:rsid w:val="008F2112"/>
    <w:rsid w:val="00A357D2"/>
    <w:rsid w:val="00F17955"/>
    <w:rsid w:val="00F41D34"/>
    <w:rsid w:val="00F6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2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A2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2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2017-02-08T08:42:00Z</cp:lastPrinted>
  <dcterms:created xsi:type="dcterms:W3CDTF">2021-02-27T08:37:00Z</dcterms:created>
  <dcterms:modified xsi:type="dcterms:W3CDTF">2021-02-27T08:37:00Z</dcterms:modified>
</cp:coreProperties>
</file>