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3A" w:rsidRPr="00062CC7" w:rsidRDefault="00233A1C" w:rsidP="00062CC7">
      <w:pPr>
        <w:ind w:firstLine="708"/>
        <w:rPr>
          <w:rFonts w:ascii="Algerian" w:hAnsi="Algerian" w:cs="Times New Roman"/>
          <w:b/>
          <w:color w:val="FF0000"/>
          <w:sz w:val="40"/>
          <w:szCs w:val="40"/>
          <w:u w:val="single"/>
        </w:rPr>
      </w:pPr>
      <w:r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В</w:t>
      </w:r>
      <w:r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Д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Е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Т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С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К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И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Й</w:t>
      </w:r>
      <w:r w:rsidR="009005D5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С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А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Д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И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К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>-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С</w:t>
      </w:r>
      <w:r w:rsidR="009005D5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proofErr w:type="gramStart"/>
      <w:r w:rsidR="009005D5" w:rsidRPr="001B24CB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Р</w:t>
      </w:r>
      <w:proofErr w:type="gramEnd"/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А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1B24CB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Д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О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1B24CB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С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Т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1B24CB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Ь</w:t>
      </w:r>
      <w:r w:rsidR="00062CC7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 xml:space="preserve"> </w:t>
      </w:r>
      <w:r w:rsidR="009005D5" w:rsidRPr="00062CC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Ю</w:t>
      </w:r>
      <w:r w:rsidR="00EE493D" w:rsidRPr="00062CC7">
        <w:rPr>
          <w:rFonts w:ascii="Algerian" w:hAnsi="Algerian" w:cs="Times New Roman"/>
          <w:b/>
          <w:color w:val="FF0000"/>
          <w:sz w:val="40"/>
          <w:szCs w:val="40"/>
          <w:u w:val="single"/>
        </w:rPr>
        <w:t>!</w:t>
      </w:r>
    </w:p>
    <w:tbl>
      <w:tblPr>
        <w:tblStyle w:val="a3"/>
        <w:tblpPr w:leftFromText="180" w:rightFromText="180" w:vertAnchor="text" w:horzAnchor="margin" w:tblpY="1102"/>
        <w:tblW w:w="0" w:type="auto"/>
        <w:tblLook w:val="04A0"/>
      </w:tblPr>
      <w:tblGrid>
        <w:gridCol w:w="5210"/>
        <w:gridCol w:w="5210"/>
      </w:tblGrid>
      <w:tr w:rsidR="001B24CB" w:rsidTr="001B24CB">
        <w:trPr>
          <w:trHeight w:val="5875"/>
        </w:trPr>
        <w:tc>
          <w:tcPr>
            <w:tcW w:w="5210" w:type="dxa"/>
            <w:tcBorders>
              <w:top w:val="nil"/>
              <w:left w:val="nil"/>
              <w:bottom w:val="single" w:sz="4" w:space="0" w:color="auto"/>
            </w:tcBorders>
            <w:shd w:val="clear" w:color="auto" w:fill="92D050"/>
          </w:tcPr>
          <w:p w:rsidR="001B24CB" w:rsidRPr="009005D5" w:rsidRDefault="004E1AF1" w:rsidP="001B24C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32"/>
                <w:szCs w:val="32"/>
                <w:u w:val="single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8" type="#_x0000_t120" style="position:absolute;left:0;text-align:left;margin-left:138.8pt;margin-top:185.25pt;width:236.4pt;height:221.45pt;z-index:251658240" fillcolor="#4f81bd [3204]" strokecolor="#f2f2f2 [3041]" strokeweight="3pt">
                  <v:shadow on="t" type="perspective" color="#243f60 [1604]" opacity=".5" offset="1pt" offset2="-1pt"/>
                  <v:textbox style="mso-next-textbox:#_x0000_s1028">
                    <w:txbxContent>
                      <w:p w:rsidR="001B24CB" w:rsidRPr="001B24CB" w:rsidRDefault="001B24CB" w:rsidP="001B24CB">
                        <w:pPr>
                          <w:ind w:firstLine="708"/>
                          <w:jc w:val="both"/>
                          <w:rPr>
                            <w:b/>
                            <w:color w:val="FFFF0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color w:val="FFFF00"/>
                            <w:sz w:val="24"/>
                            <w:szCs w:val="24"/>
                          </w:rPr>
                          <w:t xml:space="preserve">        </w:t>
                        </w:r>
                        <w:r w:rsidRPr="001B24CB">
                          <w:rPr>
                            <w:b/>
                            <w:color w:val="FFFF00"/>
                            <w:sz w:val="24"/>
                            <w:szCs w:val="24"/>
                            <w:u w:val="single"/>
                          </w:rPr>
                          <w:t>В</w:t>
                        </w:r>
                        <w:r w:rsidR="001D0E52">
                          <w:rPr>
                            <w:b/>
                            <w:color w:val="FFFF00"/>
                            <w:sz w:val="24"/>
                            <w:szCs w:val="24"/>
                            <w:u w:val="single"/>
                          </w:rPr>
                          <w:t>АЖНО</w:t>
                        </w:r>
                        <w:r w:rsidRPr="001B24CB">
                          <w:rPr>
                            <w:b/>
                            <w:color w:val="FFFF00"/>
                            <w:sz w:val="24"/>
                            <w:szCs w:val="24"/>
                            <w:u w:val="single"/>
                          </w:rPr>
                          <w:t>!</w:t>
                        </w:r>
                      </w:p>
                      <w:p w:rsidR="001B24CB" w:rsidRPr="00E27830" w:rsidRDefault="001B24CB" w:rsidP="001B24CB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7830">
                          <w:rPr>
                            <w:sz w:val="20"/>
                            <w:szCs w:val="20"/>
                          </w:rPr>
                          <w:t>Начните водить ребёнка в сад ещё до того, как выйдите на работу, чтобы у вас была возможность забирать его пораньше. Хорошо, если сначала он будет приходить в садик поиграть, а после обеда уходить домой. Так он втянется в эту атмосферу постепенно, без травм.</w:t>
                        </w:r>
                      </w:p>
                      <w:p w:rsidR="001B24CB" w:rsidRPr="000A1996" w:rsidRDefault="001B24CB" w:rsidP="001B24C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1B24CB" w:rsidRPr="009005D5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>Не тяните до последнего.</w:t>
            </w:r>
          </w:p>
          <w:p w:rsidR="001B24CB" w:rsidRDefault="001B24CB" w:rsidP="001B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CB" w:rsidRPr="00EE493D" w:rsidRDefault="001B24CB" w:rsidP="001B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93D">
              <w:rPr>
                <w:rFonts w:ascii="Times New Roman" w:hAnsi="Times New Roman" w:cs="Times New Roman"/>
                <w:sz w:val="28"/>
                <w:szCs w:val="28"/>
              </w:rPr>
              <w:t>Начните готовиться хотя бы за пару месяцев, иначе ребёнок от резкой перемены в образе жизни может испытать стресс.</w:t>
            </w:r>
          </w:p>
          <w:p w:rsidR="001B24CB" w:rsidRPr="00790E87" w:rsidRDefault="001B24CB" w:rsidP="001B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93D">
              <w:rPr>
                <w:rFonts w:ascii="Times New Roman" w:hAnsi="Times New Roman" w:cs="Times New Roman"/>
                <w:sz w:val="28"/>
                <w:szCs w:val="28"/>
              </w:rPr>
              <w:t>Не нужно всё время проводить с ребёнком –</w:t>
            </w:r>
            <w:r w:rsidR="005C2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9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иногда на несколько часов  уходите из дома, оставляя его с кем-то из взрослых. </w:t>
            </w:r>
            <w:r w:rsidRPr="00EE493D">
              <w:rPr>
                <w:rFonts w:ascii="Times New Roman" w:hAnsi="Times New Roman" w:cs="Times New Roman"/>
                <w:sz w:val="28"/>
                <w:szCs w:val="28"/>
              </w:rPr>
              <w:t>Он должен привыкнуть, что побыть без мамы – это нормально и не страшно.</w:t>
            </w:r>
          </w:p>
        </w:tc>
        <w:tc>
          <w:tcPr>
            <w:tcW w:w="521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92D050"/>
          </w:tcPr>
          <w:p w:rsidR="001B24CB" w:rsidRPr="009005D5" w:rsidRDefault="001B24CB" w:rsidP="001B24C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 w:rsidRPr="009005D5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>Расскажите и покажите.</w:t>
            </w:r>
          </w:p>
          <w:p w:rsidR="001B24CB" w:rsidRDefault="001B24CB" w:rsidP="001B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CB" w:rsidRDefault="001B24CB" w:rsidP="001B24C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493D"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 ребёнку, что всё детки, когда становятся старше, идут в садик. Малышам хочется быть большими, и при такой постановке вопроса они воспринимают сад как награду, а не как наказание. Постарайтесь говорить о том, что мальчики и девочки делают в садике, в позитивном ключе, рассказывайте, как там весело и интересно. </w:t>
            </w:r>
            <w:r w:rsidRPr="00EE49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Идёте во время </w:t>
            </w:r>
          </w:p>
          <w:p w:rsidR="001B24CB" w:rsidRDefault="001B24CB" w:rsidP="00836271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прогулки мимо сада? Загляните</w:t>
            </w:r>
          </w:p>
          <w:p w:rsidR="001B24CB" w:rsidRDefault="001B24CB" w:rsidP="00836271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за забор, понаблюдайте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</w:t>
            </w:r>
            <w:proofErr w:type="gramEnd"/>
          </w:p>
          <w:p w:rsidR="001B24CB" w:rsidRDefault="001B24CB" w:rsidP="008362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играми детей.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Словом, </w:t>
            </w:r>
          </w:p>
          <w:p w:rsidR="001B24CB" w:rsidRDefault="001B24CB" w:rsidP="008362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делайте всё, чтобы </w:t>
            </w:r>
          </w:p>
          <w:p w:rsidR="001B24CB" w:rsidRDefault="001B24CB" w:rsidP="008362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ребёнку захотелось </w:t>
            </w:r>
          </w:p>
          <w:p w:rsidR="001B24CB" w:rsidRPr="007F2AAC" w:rsidRDefault="001B24CB" w:rsidP="008362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играть вместе с ними.</w:t>
            </w:r>
          </w:p>
        </w:tc>
      </w:tr>
      <w:tr w:rsidR="001B24CB" w:rsidTr="001B24CB">
        <w:trPr>
          <w:trHeight w:val="6484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  <w:shd w:val="clear" w:color="auto" w:fill="92D050"/>
          </w:tcPr>
          <w:p w:rsidR="001B24CB" w:rsidRPr="009005D5" w:rsidRDefault="001B24CB" w:rsidP="001B24CB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 w:rsidRPr="009005D5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 xml:space="preserve">Приучайте к </w:t>
            </w:r>
          </w:p>
          <w:p w:rsidR="001B24CB" w:rsidRPr="009005D5" w:rsidRDefault="001B24CB" w:rsidP="001B24CB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 w:rsidRPr="009005D5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>режиму.</w:t>
            </w:r>
          </w:p>
          <w:p w:rsidR="001B24CB" w:rsidRDefault="001B24CB" w:rsidP="001B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CB" w:rsidRPr="00EE493D" w:rsidRDefault="001B24CB" w:rsidP="0083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3D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 </w:t>
            </w:r>
          </w:p>
          <w:p w:rsidR="001B24CB" w:rsidRPr="00EE493D" w:rsidRDefault="00836271" w:rsidP="0083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24CB" w:rsidRPr="00EE493D">
              <w:rPr>
                <w:rFonts w:ascii="Times New Roman" w:hAnsi="Times New Roman" w:cs="Times New Roman"/>
                <w:sz w:val="28"/>
                <w:szCs w:val="28"/>
              </w:rPr>
              <w:t xml:space="preserve">оспроизводите дома </w:t>
            </w:r>
          </w:p>
          <w:p w:rsidR="001B24CB" w:rsidRPr="00EE493D" w:rsidRDefault="001B24CB" w:rsidP="0083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3D">
              <w:rPr>
                <w:rFonts w:ascii="Times New Roman" w:hAnsi="Times New Roman" w:cs="Times New Roman"/>
                <w:sz w:val="28"/>
                <w:szCs w:val="28"/>
              </w:rPr>
              <w:t xml:space="preserve">«детсадовский» распорядок </w:t>
            </w:r>
          </w:p>
          <w:p w:rsidR="001B24CB" w:rsidRPr="00EE493D" w:rsidRDefault="001B24CB" w:rsidP="0083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3D">
              <w:rPr>
                <w:rFonts w:ascii="Times New Roman" w:hAnsi="Times New Roman" w:cs="Times New Roman"/>
                <w:sz w:val="28"/>
                <w:szCs w:val="28"/>
              </w:rPr>
              <w:t>дня. Будите и укладывайте</w:t>
            </w:r>
          </w:p>
          <w:p w:rsidR="001B24CB" w:rsidRPr="00EE493D" w:rsidRDefault="001B24CB" w:rsidP="0083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3D">
              <w:rPr>
                <w:rFonts w:ascii="Times New Roman" w:hAnsi="Times New Roman" w:cs="Times New Roman"/>
                <w:sz w:val="28"/>
                <w:szCs w:val="28"/>
              </w:rPr>
              <w:t xml:space="preserve">сына или дочь в нужное время, </w:t>
            </w:r>
          </w:p>
          <w:p w:rsidR="001B24CB" w:rsidRPr="00EE493D" w:rsidRDefault="001B24CB" w:rsidP="0083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93D">
              <w:rPr>
                <w:rFonts w:ascii="Times New Roman" w:hAnsi="Times New Roman" w:cs="Times New Roman"/>
                <w:sz w:val="28"/>
                <w:szCs w:val="28"/>
              </w:rPr>
              <w:t xml:space="preserve">кормите по часам, приучайте </w:t>
            </w:r>
            <w:proofErr w:type="gramStart"/>
            <w:r w:rsidRPr="00EE49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E4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4CB" w:rsidRPr="00EE493D" w:rsidRDefault="001B24CB" w:rsidP="001B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93D">
              <w:rPr>
                <w:rFonts w:ascii="Times New Roman" w:hAnsi="Times New Roman" w:cs="Times New Roman"/>
                <w:sz w:val="28"/>
                <w:szCs w:val="28"/>
              </w:rPr>
              <w:t>дневному сну. Старайтесь 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вить то, что </w:t>
            </w:r>
            <w:r w:rsidRPr="00EE493D">
              <w:rPr>
                <w:rFonts w:ascii="Times New Roman" w:hAnsi="Times New Roman" w:cs="Times New Roman"/>
                <w:sz w:val="28"/>
                <w:szCs w:val="28"/>
              </w:rPr>
              <w:t xml:space="preserve">обычно дают в саду: кашу, пюре, котлеты, кисель. </w:t>
            </w:r>
            <w:r w:rsidRPr="00EE49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Доведите до автоматизма необходимые навыки самообслуживания: </w:t>
            </w:r>
            <w:r w:rsidRPr="00EE493D">
              <w:rPr>
                <w:rFonts w:ascii="Times New Roman" w:hAnsi="Times New Roman" w:cs="Times New Roman"/>
                <w:sz w:val="28"/>
                <w:szCs w:val="28"/>
              </w:rPr>
              <w:t>одеваться, раздеваться, ходить на горшок, застилать постель и т.п.</w:t>
            </w:r>
          </w:p>
        </w:tc>
        <w:tc>
          <w:tcPr>
            <w:tcW w:w="5210" w:type="dxa"/>
            <w:tcBorders>
              <w:bottom w:val="nil"/>
              <w:right w:val="nil"/>
            </w:tcBorders>
            <w:shd w:val="clear" w:color="auto" w:fill="92D050"/>
          </w:tcPr>
          <w:p w:rsidR="001B24CB" w:rsidRPr="009005D5" w:rsidRDefault="001B24CB" w:rsidP="001B24CB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 w:rsidRPr="009005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</w:t>
            </w:r>
            <w:r w:rsidRPr="009005D5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>Играйте в сад.</w:t>
            </w:r>
          </w:p>
          <w:p w:rsidR="001B24CB" w:rsidRDefault="001B24CB" w:rsidP="001B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CB" w:rsidRDefault="001B24CB" w:rsidP="001B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FE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14FE4">
              <w:rPr>
                <w:rFonts w:ascii="Times New Roman" w:hAnsi="Times New Roman" w:cs="Times New Roman"/>
                <w:sz w:val="28"/>
                <w:szCs w:val="28"/>
              </w:rPr>
              <w:t>Учите делит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ься. </w:t>
            </w:r>
          </w:p>
          <w:p w:rsidR="001B24CB" w:rsidRDefault="001B24CB" w:rsidP="001B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Раньше у малыша</w:t>
            </w:r>
          </w:p>
          <w:p w:rsidR="001B24CB" w:rsidRDefault="001B24CB" w:rsidP="001B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были свои игрушки, он</w:t>
            </w:r>
          </w:p>
          <w:p w:rsidR="001B24CB" w:rsidRDefault="001B24CB" w:rsidP="001B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мог их дать поиграть кому-</w:t>
            </w:r>
          </w:p>
          <w:p w:rsidR="001B24CB" w:rsidRDefault="001B24CB" w:rsidP="001B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то, а мог не дать. В саду игрушки общие, малыш должен это понять. </w:t>
            </w:r>
          </w:p>
          <w:p w:rsidR="001B24CB" w:rsidRPr="00037B88" w:rsidRDefault="001B24CB" w:rsidP="001B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Дома имитируйте ситуации, которые могут произойти в детском коллективе.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Сначала позитивные: как познакомится, найти друзей, посчитаться, кто водит в прятки.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негативные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как реагировать, кому жаловаться, если кто-то обзывается, дерётся.</w:t>
            </w:r>
          </w:p>
        </w:tc>
      </w:tr>
    </w:tbl>
    <w:p w:rsidR="00233A1C" w:rsidRPr="009005D5" w:rsidRDefault="00233A1C" w:rsidP="00EE493D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005D5">
        <w:rPr>
          <w:rFonts w:ascii="Times New Roman" w:hAnsi="Times New Roman" w:cs="Times New Roman"/>
          <w:i/>
          <w:color w:val="0070C0"/>
          <w:sz w:val="28"/>
          <w:szCs w:val="28"/>
        </w:rPr>
        <w:t>Как настроить малыша, чтобы</w:t>
      </w:r>
      <w:r w:rsidR="009005D5" w:rsidRPr="009005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новый этап его жизни не обернулся</w:t>
      </w:r>
      <w:r w:rsidR="009005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психологической травмой. </w:t>
      </w:r>
    </w:p>
    <w:p w:rsidR="00F3407B" w:rsidRDefault="00F3407B" w:rsidP="00F3407B">
      <w:pPr>
        <w:ind w:left="2124" w:firstLine="708"/>
        <w:rPr>
          <w:rFonts w:ascii="Times New Roman" w:hAnsi="Times New Roman" w:cs="Times New Roman"/>
          <w:sz w:val="24"/>
          <w:szCs w:val="24"/>
        </w:rPr>
        <w:sectPr w:rsidR="00F3407B" w:rsidSect="00961F83">
          <w:pgSz w:w="11906" w:h="16838"/>
          <w:pgMar w:top="567" w:right="851" w:bottom="567" w:left="851" w:header="709" w:footer="709" w:gutter="0"/>
          <w:cols w:space="709"/>
          <w:docGrid w:linePitch="360"/>
        </w:sectPr>
      </w:pPr>
    </w:p>
    <w:p w:rsidR="00F3407B" w:rsidRDefault="00F3407B" w:rsidP="00F3407B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F3407B" w:rsidRPr="00961F83" w:rsidRDefault="00F3407B" w:rsidP="00961F8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1F83" w:rsidRPr="00961F83">
        <w:rPr>
          <w:rFonts w:ascii="Times New Roman" w:hAnsi="Times New Roman" w:cs="Times New Roman"/>
          <w:sz w:val="20"/>
          <w:szCs w:val="20"/>
        </w:rPr>
        <w:t>Консультацию подготовила Козлова Е.Н. воспитатель МДОУ №6</w:t>
      </w:r>
      <w:r w:rsidR="00961F83">
        <w:rPr>
          <w:rFonts w:ascii="Times New Roman" w:hAnsi="Times New Roman" w:cs="Times New Roman"/>
          <w:sz w:val="20"/>
          <w:szCs w:val="20"/>
        </w:rPr>
        <w:t xml:space="preserve"> по материалам журнала «Дошкольное воспитание».</w:t>
      </w:r>
    </w:p>
    <w:sectPr w:rsidR="00F3407B" w:rsidRPr="00961F83" w:rsidSect="00F3407B"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33A1C"/>
    <w:rsid w:val="00037B88"/>
    <w:rsid w:val="00062CC7"/>
    <w:rsid w:val="000A1996"/>
    <w:rsid w:val="001B24CB"/>
    <w:rsid w:val="001D0E52"/>
    <w:rsid w:val="001F1C3A"/>
    <w:rsid w:val="00233A1C"/>
    <w:rsid w:val="004E1AF1"/>
    <w:rsid w:val="0057677E"/>
    <w:rsid w:val="005C2619"/>
    <w:rsid w:val="006B55E0"/>
    <w:rsid w:val="00714FE4"/>
    <w:rsid w:val="00723D28"/>
    <w:rsid w:val="00790E87"/>
    <w:rsid w:val="007F2AAC"/>
    <w:rsid w:val="00836271"/>
    <w:rsid w:val="00856A4C"/>
    <w:rsid w:val="008B11A6"/>
    <w:rsid w:val="008E56B2"/>
    <w:rsid w:val="009005D5"/>
    <w:rsid w:val="0092240F"/>
    <w:rsid w:val="00961F83"/>
    <w:rsid w:val="00967240"/>
    <w:rsid w:val="00A12B57"/>
    <w:rsid w:val="00AE0D9C"/>
    <w:rsid w:val="00BB7268"/>
    <w:rsid w:val="00D80924"/>
    <w:rsid w:val="00DA1B7D"/>
    <w:rsid w:val="00DF6665"/>
    <w:rsid w:val="00E27830"/>
    <w:rsid w:val="00E57B1E"/>
    <w:rsid w:val="00E71F2A"/>
    <w:rsid w:val="00EE493D"/>
    <w:rsid w:val="00F3407B"/>
    <w:rsid w:val="00F5219F"/>
    <w:rsid w:val="00F5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2017-11-11T16:34:00Z</dcterms:created>
  <dcterms:modified xsi:type="dcterms:W3CDTF">2017-11-11T16:34:00Z</dcterms:modified>
</cp:coreProperties>
</file>